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76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8222"/>
        <w:gridCol w:w="1417"/>
      </w:tblGrid>
      <w:tr w:rsidR="0095096A" w:rsidRPr="0095096A" w:rsidTr="0095096A">
        <w:trPr>
          <w:trHeight w:val="1489"/>
        </w:trPr>
        <w:tc>
          <w:tcPr>
            <w:tcW w:w="1559" w:type="dxa"/>
          </w:tcPr>
          <w:p w:rsidR="0095096A" w:rsidRPr="0095096A" w:rsidRDefault="0095096A" w:rsidP="0095096A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5096A">
              <w:rPr>
                <w:rFonts w:ascii="Verdana" w:hAnsi="Verdana"/>
                <w:b/>
                <w:bCs/>
                <w:noProof/>
                <w:sz w:val="24"/>
                <w:szCs w:val="24"/>
                <w:lang w:bidi="te-I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-194083</wp:posOffset>
                  </wp:positionH>
                  <wp:positionV relativeFrom="paragraph">
                    <wp:posOffset>-49774</wp:posOffset>
                  </wp:positionV>
                  <wp:extent cx="1095555" cy="1112808"/>
                  <wp:effectExtent l="19050" t="0" r="9345" b="0"/>
                  <wp:wrapNone/>
                  <wp:docPr id="9" name="Picture 1" descr="E:\RIET\LOGOS\RI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IET\LOGOS\RI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55" cy="111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096A" w:rsidRPr="0095096A" w:rsidRDefault="0095096A" w:rsidP="0095096A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95096A" w:rsidRPr="0095096A" w:rsidRDefault="0095096A" w:rsidP="0095096A">
            <w:pPr>
              <w:pStyle w:val="NoSpacing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5096A" w:rsidRPr="0095096A" w:rsidRDefault="0095096A" w:rsidP="0095096A">
            <w:pPr>
              <w:pStyle w:val="NoSpacing"/>
              <w:jc w:val="center"/>
              <w:rPr>
                <w:rFonts w:ascii="Bookman Old Style" w:hAnsi="Bookman Old Style"/>
                <w:b/>
                <w:bCs/>
                <w:color w:val="FF0000"/>
                <w:sz w:val="52"/>
                <w:szCs w:val="24"/>
              </w:rPr>
            </w:pPr>
            <w:r w:rsidRPr="0095096A">
              <w:rPr>
                <w:rFonts w:ascii="Bookman Old Style" w:hAnsi="Bookman Old Style"/>
                <w:b/>
                <w:bCs/>
                <w:noProof/>
                <w:color w:val="FF0000"/>
                <w:sz w:val="52"/>
                <w:szCs w:val="24"/>
                <w:lang w:bidi="te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5052060</wp:posOffset>
                  </wp:positionH>
                  <wp:positionV relativeFrom="paragraph">
                    <wp:posOffset>24130</wp:posOffset>
                  </wp:positionV>
                  <wp:extent cx="1047750" cy="1038905"/>
                  <wp:effectExtent l="0" t="0" r="0" b="0"/>
                  <wp:wrapNone/>
                  <wp:docPr id="10" name="Picture 29" descr="C:\Users\RIET OFFICE\Desktop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IET OFFICE\Desktop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09" cy="104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096A">
              <w:rPr>
                <w:rFonts w:ascii="Bookman Old Style" w:hAnsi="Bookman Old Style"/>
                <w:b/>
                <w:bCs/>
                <w:color w:val="FF0000"/>
                <w:sz w:val="52"/>
                <w:szCs w:val="24"/>
              </w:rPr>
              <w:t>RAJAMAHENDRI</w:t>
            </w:r>
          </w:p>
          <w:p w:rsidR="0095096A" w:rsidRPr="0095096A" w:rsidRDefault="0095096A" w:rsidP="0095096A">
            <w:pPr>
              <w:pStyle w:val="NoSpacing"/>
              <w:jc w:val="center"/>
              <w:rPr>
                <w:rFonts w:ascii="Bookman Old Style" w:hAnsi="Bookman Old Style"/>
                <w:b/>
                <w:bCs/>
                <w:color w:val="FF0000"/>
                <w:sz w:val="36"/>
                <w:szCs w:val="20"/>
              </w:rPr>
            </w:pPr>
            <w:r w:rsidRPr="0095096A">
              <w:rPr>
                <w:rFonts w:ascii="Bookman Old Style" w:hAnsi="Bookman Old Style"/>
                <w:b/>
                <w:bCs/>
                <w:color w:val="FF0000"/>
                <w:sz w:val="32"/>
                <w:szCs w:val="20"/>
              </w:rPr>
              <w:t>INSTITUTE OF ENGINEERING &amp; TECHNOLOGY</w:t>
            </w:r>
          </w:p>
          <w:p w:rsidR="0095096A" w:rsidRPr="0095096A" w:rsidRDefault="0095096A" w:rsidP="0095096A">
            <w:pPr>
              <w:pStyle w:val="NoSpacing"/>
              <w:spacing w:line="288" w:lineRule="auto"/>
              <w:jc w:val="center"/>
              <w:rPr>
                <w:rFonts w:ascii="Bookman Old Style" w:hAnsi="Bookman Old Style"/>
                <w:b/>
                <w:bCs/>
                <w:i/>
                <w:color w:val="365F91"/>
                <w:sz w:val="16"/>
              </w:rPr>
            </w:pPr>
            <w:r w:rsidRPr="0095096A">
              <w:rPr>
                <w:rFonts w:ascii="Bookman Old Style" w:hAnsi="Bookman Old Style"/>
                <w:b/>
                <w:bCs/>
                <w:i/>
                <w:color w:val="365F91"/>
                <w:sz w:val="16"/>
              </w:rPr>
              <w:t>(Approved by AICTE, New Delhi, Affiliated to JNTUK, Kakinada, Accredited BY NAAC)</w:t>
            </w:r>
          </w:p>
          <w:p w:rsidR="0095096A" w:rsidRPr="0095096A" w:rsidRDefault="0095096A" w:rsidP="0095096A">
            <w:pPr>
              <w:pStyle w:val="NoSpacing"/>
              <w:spacing w:line="288" w:lineRule="auto"/>
              <w:jc w:val="center"/>
              <w:rPr>
                <w:rFonts w:ascii="Bookman Old Style" w:hAnsi="Bookman Old Style"/>
                <w:b/>
                <w:bCs/>
                <w:color w:val="365F91"/>
                <w:sz w:val="20"/>
              </w:rPr>
            </w:pPr>
            <w:r w:rsidRPr="0095096A">
              <w:rPr>
                <w:rFonts w:ascii="Bookman Old Style" w:hAnsi="Bookman Old Style"/>
                <w:b/>
                <w:bCs/>
                <w:color w:val="365F91"/>
                <w:sz w:val="20"/>
              </w:rPr>
              <w:t>BHOOPALAPATNAM, RAJAMAHENDRAVARAM, E.G. Dist., AP, 533107.</w:t>
            </w:r>
          </w:p>
          <w:p w:rsidR="0095096A" w:rsidRPr="0095096A" w:rsidRDefault="0095096A" w:rsidP="0095096A">
            <w:pPr>
              <w:pStyle w:val="NoSpacing"/>
              <w:spacing w:line="288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5096A">
              <w:rPr>
                <w:rFonts w:ascii="Bookman Old Style" w:hAnsi="Bookman Old Style"/>
                <w:b/>
                <w:bCs/>
                <w:color w:val="365F91"/>
                <w:sz w:val="18"/>
                <w:szCs w:val="18"/>
              </w:rPr>
              <w:t xml:space="preserve">eMail: </w:t>
            </w:r>
            <w:hyperlink r:id="rId10" w:history="1">
              <w:r w:rsidRPr="0095096A">
                <w:rPr>
                  <w:rStyle w:val="Hyperlink"/>
                  <w:rFonts w:ascii="Bookman Old Style" w:hAnsi="Bookman Old Style"/>
                  <w:b/>
                  <w:bCs/>
                  <w:sz w:val="18"/>
                  <w:szCs w:val="18"/>
                </w:rPr>
                <w:t>office@rietrjy.co.in</w:t>
              </w:r>
            </w:hyperlink>
            <w:r w:rsidRPr="0095096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   </w:t>
            </w:r>
            <w:r w:rsidRPr="0095096A">
              <w:rPr>
                <w:rFonts w:ascii="Bookman Old Style" w:hAnsi="Bookman Old Style"/>
                <w:b/>
                <w:bCs/>
                <w:color w:val="365F91"/>
                <w:sz w:val="18"/>
                <w:szCs w:val="18"/>
              </w:rPr>
              <w:t xml:space="preserve">Website: </w:t>
            </w:r>
            <w:hyperlink r:id="rId11" w:history="1">
              <w:r w:rsidRPr="0095096A">
                <w:rPr>
                  <w:rStyle w:val="Hyperlink"/>
                  <w:rFonts w:ascii="Bookman Old Style" w:hAnsi="Bookman Old Style"/>
                  <w:b/>
                  <w:bCs/>
                  <w:sz w:val="18"/>
                  <w:szCs w:val="18"/>
                </w:rPr>
                <w:t>www.rietrjy.co.in</w:t>
              </w:r>
            </w:hyperlink>
            <w:r w:rsidRPr="0095096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    </w:t>
            </w:r>
            <w:r w:rsidRPr="0095096A">
              <w:rPr>
                <w:rFonts w:ascii="Bookman Old Style" w:hAnsi="Bookman Old Style"/>
                <w:b/>
                <w:bCs/>
                <w:color w:val="365F91"/>
                <w:sz w:val="18"/>
                <w:szCs w:val="18"/>
              </w:rPr>
              <w:t xml:space="preserve">Ph: </w:t>
            </w:r>
            <w:r w:rsidRPr="0095096A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+91 91212 14413</w:t>
            </w:r>
          </w:p>
        </w:tc>
        <w:tc>
          <w:tcPr>
            <w:tcW w:w="1417" w:type="dxa"/>
          </w:tcPr>
          <w:p w:rsidR="0095096A" w:rsidRPr="0095096A" w:rsidRDefault="0095096A" w:rsidP="0095096A">
            <w:pPr>
              <w:pStyle w:val="NoSpacing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:rsidR="0095096A" w:rsidRDefault="0095096A" w:rsidP="0095096A">
      <w:pPr>
        <w:pStyle w:val="NoSpacing"/>
        <w:rPr>
          <w:rFonts w:ascii="Verdana" w:hAnsi="Verdana"/>
          <w:sz w:val="24"/>
          <w:szCs w:val="24"/>
        </w:rPr>
      </w:pPr>
      <w:r w:rsidRPr="00F62A84">
        <w:rPr>
          <w:rFonts w:ascii="Verdana" w:hAnsi="Verdana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78.2pt;margin-top:67.55pt;width:611.05pt;height:0;z-index:251662336;mso-position-horizontal-relative:text;mso-position-vertical-relative:text" o:connectortype="straight" strokecolor="blue" strokeweight="1.5pt"/>
        </w:pict>
      </w:r>
    </w:p>
    <w:p w:rsidR="006A25DB" w:rsidRDefault="006A25DB" w:rsidP="005D7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A25DB" w:rsidRDefault="006A25DB" w:rsidP="005D7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6AF1" w:rsidRPr="007E1000" w:rsidRDefault="00125C76" w:rsidP="005D72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Divyangjan</w:t>
      </w:r>
      <w:r w:rsidR="002574C3" w:rsidRPr="007E10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Policy</w:t>
      </w:r>
    </w:p>
    <w:p w:rsidR="00125C76" w:rsidRDefault="00125C76" w:rsidP="00125C76">
      <w:pPr>
        <w:pStyle w:val="Heading1"/>
        <w:spacing w:after="240"/>
        <w:ind w:left="0"/>
        <w:rPr>
          <w:rFonts w:eastAsiaTheme="minorEastAsia"/>
          <w:b w:val="0"/>
          <w:bCs/>
          <w:color w:val="000000"/>
          <w:sz w:val="24"/>
          <w:szCs w:val="24"/>
        </w:rPr>
      </w:pPr>
    </w:p>
    <w:p w:rsidR="00125C76" w:rsidRPr="00125C76" w:rsidRDefault="00125C76" w:rsidP="00125C76">
      <w:pPr>
        <w:pStyle w:val="Heading1"/>
        <w:spacing w:after="240"/>
        <w:ind w:left="0"/>
        <w:rPr>
          <w:rFonts w:eastAsiaTheme="minorEastAsia"/>
          <w:b w:val="0"/>
          <w:bCs/>
          <w:color w:val="000000"/>
          <w:sz w:val="24"/>
          <w:szCs w:val="24"/>
        </w:rPr>
      </w:pPr>
      <w:r w:rsidRPr="00125C76">
        <w:rPr>
          <w:rFonts w:eastAsiaTheme="minorEastAsia"/>
          <w:b w:val="0"/>
          <w:bCs/>
          <w:color w:val="000000"/>
          <w:sz w:val="24"/>
          <w:szCs w:val="24"/>
        </w:rPr>
        <w:t xml:space="preserve">Physical limitations should not be a barrier for students at </w:t>
      </w:r>
      <w:r w:rsidR="00F9649E">
        <w:rPr>
          <w:rFonts w:eastAsiaTheme="minorEastAsia"/>
          <w:b w:val="0"/>
          <w:bCs/>
          <w:color w:val="000000"/>
          <w:sz w:val="24"/>
          <w:szCs w:val="24"/>
        </w:rPr>
        <w:t>RIET</w:t>
      </w:r>
      <w:r w:rsidRPr="00125C76">
        <w:rPr>
          <w:rFonts w:eastAsiaTheme="minorEastAsia"/>
          <w:b w:val="0"/>
          <w:bCs/>
          <w:color w:val="000000"/>
          <w:sz w:val="24"/>
          <w:szCs w:val="24"/>
        </w:rPr>
        <w:t>, which belie</w:t>
      </w:r>
      <w:r w:rsidR="0070711C">
        <w:rPr>
          <w:rFonts w:eastAsiaTheme="minorEastAsia"/>
          <w:b w:val="0"/>
          <w:bCs/>
          <w:color w:val="000000"/>
          <w:sz w:val="24"/>
          <w:szCs w:val="24"/>
        </w:rPr>
        <w:t>f</w:t>
      </w:r>
      <w:r w:rsidRPr="00125C76">
        <w:rPr>
          <w:rFonts w:eastAsiaTheme="minorEastAsia"/>
          <w:b w:val="0"/>
          <w:bCs/>
          <w:color w:val="000000"/>
          <w:sz w:val="24"/>
          <w:szCs w:val="24"/>
        </w:rPr>
        <w:t>s in quality education at all levels. Regardless of physical impairments, the College encourages students to pursue higher education. The Divyang</w:t>
      </w:r>
      <w:r w:rsidR="00832353">
        <w:rPr>
          <w:rFonts w:eastAsiaTheme="minorEastAsia"/>
          <w:b w:val="0"/>
          <w:bCs/>
          <w:color w:val="000000"/>
          <w:sz w:val="24"/>
          <w:szCs w:val="24"/>
        </w:rPr>
        <w:t>jan</w:t>
      </w:r>
      <w:r w:rsidRPr="00125C76">
        <w:rPr>
          <w:rFonts w:eastAsiaTheme="minorEastAsia"/>
          <w:b w:val="0"/>
          <w:bCs/>
          <w:color w:val="000000"/>
          <w:sz w:val="24"/>
          <w:szCs w:val="24"/>
        </w:rPr>
        <w:t xml:space="preserve"> Policy seeks to enhance the right to education via the implementation of several government-mandated and volunteer actions.</w:t>
      </w:r>
    </w:p>
    <w:p w:rsidR="00A563DF" w:rsidRDefault="00F9649E" w:rsidP="00125C76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RIET</w:t>
      </w:r>
      <w:r w:rsidR="00125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provides the following amenities for the benefit of DIVYANG</w:t>
      </w:r>
      <w:r w:rsidR="005B5BA5">
        <w:rPr>
          <w:rFonts w:ascii="Times New Roman" w:eastAsia="Times New Roman" w:hAnsi="Times New Roman" w:cs="Times New Roman"/>
          <w:color w:val="000000"/>
          <w:sz w:val="24"/>
          <w:szCs w:val="24"/>
        </w:rPr>
        <w:t>JAN</w:t>
      </w:r>
      <w:r w:rsidR="00125C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63DF" w:rsidRPr="00E9009A" w:rsidRDefault="00A563DF" w:rsidP="00A563DF">
      <w:pPr>
        <w:pStyle w:val="ListParagraph"/>
        <w:numPr>
          <w:ilvl w:val="0"/>
          <w:numId w:val="15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Ramp/Rail: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institution provides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>barrier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>free environment in important buildings for differently-able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students. Ramp/rail is sited at the main entrance and exit of the building, where any disabled student can easily identify and access it. The ramp is so wide that a wheelchair user can use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>without any problem.</w:t>
      </w:r>
    </w:p>
    <w:p w:rsidR="00A563DF" w:rsidRPr="00E9009A" w:rsidRDefault="00A563DF" w:rsidP="00A563DF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DF" w:rsidRPr="00E9009A" w:rsidRDefault="00A563DF" w:rsidP="00A563DF">
      <w:pPr>
        <w:pStyle w:val="ListParagraph"/>
        <w:numPr>
          <w:ilvl w:val="0"/>
          <w:numId w:val="15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Accessible Toilets</w:t>
      </w:r>
      <w:r w:rsidRPr="00E90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>Large floor space is provided for a student who can easily move about. The floor surface is slip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resistant.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>A s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eparate toilet is available for people </w:t>
      </w:r>
      <w:r w:rsidR="00F60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different </w:t>
      </w:r>
      <w:r w:rsidR="00F60CAC"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 w:rsidRPr="00E9009A">
        <w:rPr>
          <w:rFonts w:ascii="Times New Roman" w:eastAsia="Times New Roman" w:hAnsi="Times New Roman" w:cs="Times New Roman"/>
          <w:color w:val="000000"/>
          <w:sz w:val="24"/>
          <w:szCs w:val="24"/>
        </w:rPr>
        <w:t>abilities.</w:t>
      </w:r>
    </w:p>
    <w:p w:rsidR="00A563DF" w:rsidRPr="00E9009A" w:rsidRDefault="00A563DF" w:rsidP="00A563D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3DF" w:rsidRPr="0051220E" w:rsidRDefault="00AD4BD4" w:rsidP="00A563DF">
      <w:pPr>
        <w:pStyle w:val="ListParagraph"/>
        <w:numPr>
          <w:ilvl w:val="0"/>
          <w:numId w:val="15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A563DF" w:rsidRPr="0051220E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51220E">
        <w:rPr>
          <w:rFonts w:ascii="Times New Roman" w:hAnsi="Times New Roman" w:cs="Times New Roman"/>
          <w:b/>
          <w:bCs/>
          <w:sz w:val="24"/>
          <w:szCs w:val="24"/>
          <w:u w:val="single"/>
        </w:rPr>
        <w:t>Classroom</w:t>
      </w:r>
      <w:r w:rsidR="00A563DF" w:rsidRPr="0051220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563DF" w:rsidRPr="0051220E">
        <w:rPr>
          <w:rFonts w:ascii="Times New Roman" w:hAnsi="Times New Roman" w:cs="Times New Roman"/>
          <w:sz w:val="24"/>
          <w:szCs w:val="24"/>
        </w:rPr>
        <w:t xml:space="preserve"> For uninterrupted studies for </w:t>
      </w:r>
      <w:r w:rsidR="008F509C" w:rsidRPr="0051220E">
        <w:rPr>
          <w:rFonts w:ascii="Times New Roman" w:hAnsi="Times New Roman" w:cs="Times New Roman"/>
          <w:sz w:val="24"/>
          <w:szCs w:val="24"/>
        </w:rPr>
        <w:t>Divyang</w:t>
      </w:r>
      <w:r w:rsidR="008F509C">
        <w:rPr>
          <w:rFonts w:ascii="Times New Roman" w:hAnsi="Times New Roman" w:cs="Times New Roman"/>
          <w:sz w:val="24"/>
          <w:szCs w:val="24"/>
        </w:rPr>
        <w:t>jan</w:t>
      </w:r>
      <w:r w:rsidR="00A563DF" w:rsidRPr="0051220E">
        <w:rPr>
          <w:rFonts w:ascii="Times New Roman" w:hAnsi="Times New Roman" w:cs="Times New Roman"/>
          <w:sz w:val="24"/>
          <w:szCs w:val="24"/>
        </w:rPr>
        <w:t xml:space="preserve"> students, our institution has</w:t>
      </w:r>
      <w:r w:rsidR="00A563DF">
        <w:rPr>
          <w:rFonts w:ascii="Times New Roman" w:hAnsi="Times New Roman" w:cs="Times New Roman"/>
          <w:sz w:val="24"/>
          <w:szCs w:val="24"/>
        </w:rPr>
        <w:t xml:space="preserve"> </w:t>
      </w:r>
      <w:r w:rsidR="00A563DF" w:rsidRPr="0051220E">
        <w:rPr>
          <w:rFonts w:ascii="Times New Roman" w:hAnsi="Times New Roman" w:cs="Times New Roman"/>
          <w:sz w:val="24"/>
          <w:szCs w:val="24"/>
        </w:rPr>
        <w:t>provided an e</w:t>
      </w:r>
      <w:r w:rsidR="00BC5D66">
        <w:rPr>
          <w:rFonts w:ascii="Times New Roman" w:hAnsi="Times New Roman" w:cs="Times New Roman"/>
          <w:sz w:val="24"/>
          <w:szCs w:val="24"/>
        </w:rPr>
        <w:t>-</w:t>
      </w:r>
      <w:r w:rsidR="00A563DF" w:rsidRPr="0051220E">
        <w:rPr>
          <w:rFonts w:ascii="Times New Roman" w:hAnsi="Times New Roman" w:cs="Times New Roman"/>
          <w:sz w:val="24"/>
          <w:szCs w:val="24"/>
        </w:rPr>
        <w:t xml:space="preserve">classroom </w:t>
      </w:r>
      <w:r w:rsidR="0070711C">
        <w:rPr>
          <w:rFonts w:ascii="Times New Roman" w:hAnsi="Times New Roman" w:cs="Times New Roman"/>
          <w:sz w:val="24"/>
          <w:szCs w:val="24"/>
        </w:rPr>
        <w:t>o</w:t>
      </w:r>
      <w:r w:rsidR="005F741B">
        <w:rPr>
          <w:rFonts w:ascii="Times New Roman" w:hAnsi="Times New Roman" w:cs="Times New Roman"/>
          <w:sz w:val="24"/>
          <w:szCs w:val="24"/>
        </w:rPr>
        <w:t>n campus</w:t>
      </w:r>
      <w:r w:rsidR="00A563DF" w:rsidRPr="0051220E">
        <w:rPr>
          <w:rFonts w:ascii="Times New Roman" w:hAnsi="Times New Roman" w:cs="Times New Roman"/>
          <w:sz w:val="24"/>
          <w:szCs w:val="24"/>
        </w:rPr>
        <w:t>.</w:t>
      </w:r>
    </w:p>
    <w:p w:rsidR="00A563DF" w:rsidRPr="00E9009A" w:rsidRDefault="00A563DF" w:rsidP="00A563DF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DF" w:rsidRDefault="00A563DF" w:rsidP="00A563DF">
      <w:pPr>
        <w:pStyle w:val="ListParagraph"/>
        <w:numPr>
          <w:ilvl w:val="0"/>
          <w:numId w:val="15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Scribes for Examination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: Our institution shall provide or allows scribers for those students who are in need while writing exams. Controller of Examinations shall allow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student on the recommendations of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to grant extra time to disabled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candidates for answering papers at University examinations. Extra time up to 20</w:t>
      </w:r>
      <w:r w:rsidR="00B21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mins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per hour can be given to complete the paper.</w:t>
      </w:r>
    </w:p>
    <w:p w:rsidR="00A563DF" w:rsidRPr="0051220E" w:rsidRDefault="00A563DF" w:rsidP="00A563D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3DF" w:rsidRPr="0051220E" w:rsidRDefault="00A563DF" w:rsidP="00A563DF">
      <w:pPr>
        <w:pStyle w:val="ListParagraph"/>
        <w:numPr>
          <w:ilvl w:val="0"/>
          <w:numId w:val="15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case of students who are eligible to avail of the services of scribes, the Principal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6EDE"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authorize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appoi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>ntme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scribes according to the following conditions.</w:t>
      </w:r>
    </w:p>
    <w:p w:rsidR="00A563DF" w:rsidRDefault="00A563DF" w:rsidP="00A563DF">
      <w:pPr>
        <w:pStyle w:val="ListParagraph"/>
        <w:numPr>
          <w:ilvl w:val="0"/>
          <w:numId w:val="16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>The scribe shall not be an employee of the college/</w:t>
      </w:r>
      <w:r w:rsidR="00D074DE"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>cent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>examination is conducted.</w:t>
      </w:r>
    </w:p>
    <w:p w:rsidR="00A563DF" w:rsidRDefault="00A563DF" w:rsidP="00A563DF">
      <w:pPr>
        <w:pStyle w:val="ListParagraph"/>
        <w:numPr>
          <w:ilvl w:val="0"/>
          <w:numId w:val="16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>The scribe shall not be a relative of the student who is appearing for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>examination.</w:t>
      </w:r>
    </w:p>
    <w:p w:rsidR="00A563DF" w:rsidRDefault="00A563DF" w:rsidP="00A563DF">
      <w:pPr>
        <w:pStyle w:val="ListParagraph"/>
        <w:numPr>
          <w:ilvl w:val="0"/>
          <w:numId w:val="16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>The educational qualifications of the scribe shall be less than those of the student.</w:t>
      </w:r>
    </w:p>
    <w:p w:rsidR="00A563DF" w:rsidRPr="0051220E" w:rsidRDefault="00A563DF" w:rsidP="00A563DF">
      <w:pPr>
        <w:pStyle w:val="ListParagraph"/>
        <w:numPr>
          <w:ilvl w:val="0"/>
          <w:numId w:val="16"/>
        </w:num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proforma with </w:t>
      </w:r>
      <w:r w:rsidR="0070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13424"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 in the format given institute shall be obtained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scribe. The proforma signed by the scribe shall be forwarded to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20E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institute.</w:t>
      </w:r>
    </w:p>
    <w:sectPr w:rsidR="00A563DF" w:rsidRPr="0051220E" w:rsidSect="006A25DB">
      <w:headerReference w:type="default" r:id="rId12"/>
      <w:footerReference w:type="default" r:id="rId13"/>
      <w:pgSz w:w="11909" w:h="16834" w:code="9"/>
      <w:pgMar w:top="36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CB" w:rsidRDefault="003646CB" w:rsidP="00061AB3">
      <w:pPr>
        <w:spacing w:after="0" w:line="240" w:lineRule="auto"/>
      </w:pPr>
      <w:r>
        <w:separator/>
      </w:r>
    </w:p>
  </w:endnote>
  <w:endnote w:type="continuationSeparator" w:id="1">
    <w:p w:rsidR="003646CB" w:rsidRDefault="003646CB" w:rsidP="0006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B3" w:rsidRDefault="00061AB3" w:rsidP="00061AB3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CB" w:rsidRDefault="003646CB" w:rsidP="00061AB3">
      <w:pPr>
        <w:spacing w:after="0" w:line="240" w:lineRule="auto"/>
      </w:pPr>
      <w:r>
        <w:separator/>
      </w:r>
    </w:p>
  </w:footnote>
  <w:footnote w:type="continuationSeparator" w:id="1">
    <w:p w:rsidR="003646CB" w:rsidRDefault="003646CB" w:rsidP="0006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B3" w:rsidRDefault="00061AB3" w:rsidP="00061AB3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16"/>
    <w:multiLevelType w:val="hybridMultilevel"/>
    <w:tmpl w:val="6D2A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E7D"/>
    <w:multiLevelType w:val="hybridMultilevel"/>
    <w:tmpl w:val="A640861C"/>
    <w:lvl w:ilvl="0" w:tplc="FE06E9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BC1"/>
    <w:multiLevelType w:val="hybridMultilevel"/>
    <w:tmpl w:val="DE26183E"/>
    <w:lvl w:ilvl="0" w:tplc="B22276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0F31D2"/>
    <w:multiLevelType w:val="hybridMultilevel"/>
    <w:tmpl w:val="286E90D4"/>
    <w:lvl w:ilvl="0" w:tplc="FE06E94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A52FA"/>
    <w:multiLevelType w:val="hybridMultilevel"/>
    <w:tmpl w:val="68006284"/>
    <w:lvl w:ilvl="0" w:tplc="D8D85E14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90DF1"/>
    <w:multiLevelType w:val="hybridMultilevel"/>
    <w:tmpl w:val="85D017C2"/>
    <w:lvl w:ilvl="0" w:tplc="D00A912A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B37"/>
    <w:multiLevelType w:val="hybridMultilevel"/>
    <w:tmpl w:val="6384492E"/>
    <w:lvl w:ilvl="0" w:tplc="6F9299F2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DCF2BD4"/>
    <w:multiLevelType w:val="hybridMultilevel"/>
    <w:tmpl w:val="628AC490"/>
    <w:lvl w:ilvl="0" w:tplc="FE06E946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36477869"/>
    <w:multiLevelType w:val="multilevel"/>
    <w:tmpl w:val="5E704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3C60685C"/>
    <w:multiLevelType w:val="hybridMultilevel"/>
    <w:tmpl w:val="3A80C7BC"/>
    <w:lvl w:ilvl="0" w:tplc="24DEB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A6109"/>
    <w:multiLevelType w:val="hybridMultilevel"/>
    <w:tmpl w:val="F75E7F0A"/>
    <w:lvl w:ilvl="0" w:tplc="B2227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F2EAC"/>
    <w:multiLevelType w:val="hybridMultilevel"/>
    <w:tmpl w:val="8362B4B2"/>
    <w:lvl w:ilvl="0" w:tplc="F87C52D8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10E48B8"/>
    <w:multiLevelType w:val="hybridMultilevel"/>
    <w:tmpl w:val="30AEEDDA"/>
    <w:lvl w:ilvl="0" w:tplc="F8207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31019"/>
    <w:multiLevelType w:val="hybridMultilevel"/>
    <w:tmpl w:val="982EBB10"/>
    <w:lvl w:ilvl="0" w:tplc="E690D4A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D42AA"/>
    <w:multiLevelType w:val="hybridMultilevel"/>
    <w:tmpl w:val="DDCA5218"/>
    <w:lvl w:ilvl="0" w:tplc="B2227696">
      <w:start w:val="1"/>
      <w:numFmt w:val="lowerLetter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47872CD"/>
    <w:multiLevelType w:val="hybridMultilevel"/>
    <w:tmpl w:val="DAEE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3NjAxNTAxMjMwtjBQ0lEKTi0uzszPAykwrwUAkoKZvCwAAAA="/>
  </w:docVars>
  <w:rsids>
    <w:rsidRoot w:val="005A74C2"/>
    <w:rsid w:val="0004647C"/>
    <w:rsid w:val="00061AB3"/>
    <w:rsid w:val="00064C10"/>
    <w:rsid w:val="0007019B"/>
    <w:rsid w:val="00090666"/>
    <w:rsid w:val="000C3D1A"/>
    <w:rsid w:val="000E6AF1"/>
    <w:rsid w:val="000F6565"/>
    <w:rsid w:val="00125C76"/>
    <w:rsid w:val="001A376F"/>
    <w:rsid w:val="001C3533"/>
    <w:rsid w:val="001C5976"/>
    <w:rsid w:val="001D0938"/>
    <w:rsid w:val="001E10C4"/>
    <w:rsid w:val="002015E3"/>
    <w:rsid w:val="002108DE"/>
    <w:rsid w:val="00213818"/>
    <w:rsid w:val="00253DAF"/>
    <w:rsid w:val="002574C3"/>
    <w:rsid w:val="00270D9B"/>
    <w:rsid w:val="002C27B7"/>
    <w:rsid w:val="002E3010"/>
    <w:rsid w:val="002E4AB9"/>
    <w:rsid w:val="003646CB"/>
    <w:rsid w:val="003652D0"/>
    <w:rsid w:val="00382308"/>
    <w:rsid w:val="003A6D8F"/>
    <w:rsid w:val="003C2AFC"/>
    <w:rsid w:val="003E485A"/>
    <w:rsid w:val="00450523"/>
    <w:rsid w:val="004617F1"/>
    <w:rsid w:val="00463377"/>
    <w:rsid w:val="004A22D3"/>
    <w:rsid w:val="004C333E"/>
    <w:rsid w:val="004D3839"/>
    <w:rsid w:val="00511C81"/>
    <w:rsid w:val="005120EF"/>
    <w:rsid w:val="00547D4C"/>
    <w:rsid w:val="005A74C2"/>
    <w:rsid w:val="005B5BA5"/>
    <w:rsid w:val="005C6EC6"/>
    <w:rsid w:val="005D7293"/>
    <w:rsid w:val="005F741B"/>
    <w:rsid w:val="00651B9A"/>
    <w:rsid w:val="006879A2"/>
    <w:rsid w:val="006A25DB"/>
    <w:rsid w:val="006D6751"/>
    <w:rsid w:val="00705F4D"/>
    <w:rsid w:val="0070711C"/>
    <w:rsid w:val="00713821"/>
    <w:rsid w:val="00741D11"/>
    <w:rsid w:val="00775F39"/>
    <w:rsid w:val="007815D2"/>
    <w:rsid w:val="007D71B2"/>
    <w:rsid w:val="007E1000"/>
    <w:rsid w:val="008009C3"/>
    <w:rsid w:val="00821990"/>
    <w:rsid w:val="00832353"/>
    <w:rsid w:val="00876DC2"/>
    <w:rsid w:val="008856BF"/>
    <w:rsid w:val="008D0171"/>
    <w:rsid w:val="008F30D4"/>
    <w:rsid w:val="008F509C"/>
    <w:rsid w:val="00906D84"/>
    <w:rsid w:val="0091357F"/>
    <w:rsid w:val="0095096A"/>
    <w:rsid w:val="009C276B"/>
    <w:rsid w:val="009F6847"/>
    <w:rsid w:val="00A4392E"/>
    <w:rsid w:val="00A52FCE"/>
    <w:rsid w:val="00A563DF"/>
    <w:rsid w:val="00A66C28"/>
    <w:rsid w:val="00A77E78"/>
    <w:rsid w:val="00A830B4"/>
    <w:rsid w:val="00AA2B0C"/>
    <w:rsid w:val="00AA7A37"/>
    <w:rsid w:val="00AD4BD4"/>
    <w:rsid w:val="00AF28EE"/>
    <w:rsid w:val="00B21C55"/>
    <w:rsid w:val="00B220A7"/>
    <w:rsid w:val="00B2386C"/>
    <w:rsid w:val="00B32ACB"/>
    <w:rsid w:val="00B3365D"/>
    <w:rsid w:val="00B861AD"/>
    <w:rsid w:val="00BC43A4"/>
    <w:rsid w:val="00BC5D66"/>
    <w:rsid w:val="00BE02C3"/>
    <w:rsid w:val="00BE1631"/>
    <w:rsid w:val="00C05DEF"/>
    <w:rsid w:val="00C0743E"/>
    <w:rsid w:val="00C31304"/>
    <w:rsid w:val="00C54512"/>
    <w:rsid w:val="00C904B0"/>
    <w:rsid w:val="00D074DE"/>
    <w:rsid w:val="00D11E63"/>
    <w:rsid w:val="00D63249"/>
    <w:rsid w:val="00D8354B"/>
    <w:rsid w:val="00D95974"/>
    <w:rsid w:val="00DA156E"/>
    <w:rsid w:val="00DC2BE6"/>
    <w:rsid w:val="00DD1BE9"/>
    <w:rsid w:val="00DE1DD6"/>
    <w:rsid w:val="00E01665"/>
    <w:rsid w:val="00E37758"/>
    <w:rsid w:val="00E40F88"/>
    <w:rsid w:val="00EE49EF"/>
    <w:rsid w:val="00F36EDE"/>
    <w:rsid w:val="00F5292F"/>
    <w:rsid w:val="00F60CAC"/>
    <w:rsid w:val="00F67EFD"/>
    <w:rsid w:val="00F834BB"/>
    <w:rsid w:val="00F9649E"/>
    <w:rsid w:val="00FC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9A"/>
  </w:style>
  <w:style w:type="paragraph" w:styleId="Heading1">
    <w:name w:val="heading 1"/>
    <w:basedOn w:val="Normal"/>
    <w:next w:val="Normal"/>
    <w:link w:val="Heading1Char"/>
    <w:uiPriority w:val="9"/>
    <w:qFormat/>
    <w:rsid w:val="00463377"/>
    <w:pPr>
      <w:widowControl w:val="0"/>
      <w:spacing w:after="0"/>
      <w:ind w:left="22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B3"/>
  </w:style>
  <w:style w:type="paragraph" w:styleId="Footer">
    <w:name w:val="footer"/>
    <w:basedOn w:val="Normal"/>
    <w:link w:val="FooterChar"/>
    <w:uiPriority w:val="99"/>
    <w:unhideWhenUsed/>
    <w:rsid w:val="0006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B3"/>
  </w:style>
  <w:style w:type="paragraph" w:styleId="BalloonText">
    <w:name w:val="Balloon Text"/>
    <w:basedOn w:val="Normal"/>
    <w:link w:val="BalloonTextChar"/>
    <w:uiPriority w:val="99"/>
    <w:semiHidden/>
    <w:unhideWhenUsed/>
    <w:rsid w:val="0006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3377"/>
    <w:rPr>
      <w:rFonts w:ascii="Times New Roman" w:eastAsia="Times New Roman" w:hAnsi="Times New Roman" w:cs="Times New Roman"/>
      <w:b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3C2AFC"/>
    <w:pPr>
      <w:spacing w:after="160" w:line="259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95096A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9509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0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etrjy.co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rietrjy.co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237F-0E53-48A5-AE07-09AD770D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SATISH</cp:lastModifiedBy>
  <cp:revision>37</cp:revision>
  <dcterms:created xsi:type="dcterms:W3CDTF">2022-10-01T06:38:00Z</dcterms:created>
  <dcterms:modified xsi:type="dcterms:W3CDTF">2024-09-22T08:58:00Z</dcterms:modified>
</cp:coreProperties>
</file>